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646E5" w14:textId="344277C4" w:rsidR="005743A2" w:rsidRPr="004844FB" w:rsidRDefault="00F349F9">
      <w:pPr>
        <w:pStyle w:val="Normal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Denosumab</w:t>
      </w:r>
      <w:proofErr w:type="spellEnd"/>
      <w:r>
        <w:rPr>
          <w:b/>
          <w:sz w:val="28"/>
          <w:szCs w:val="28"/>
        </w:rPr>
        <w:t xml:space="preserve"> Shows Efficacy</w:t>
      </w:r>
      <w:r w:rsidR="007B1851">
        <w:rPr>
          <w:b/>
          <w:sz w:val="28"/>
          <w:szCs w:val="28"/>
        </w:rPr>
        <w:br/>
        <w:t>in</w:t>
      </w:r>
      <w:r w:rsidR="002A0182" w:rsidRPr="004844FB">
        <w:rPr>
          <w:b/>
          <w:sz w:val="28"/>
          <w:szCs w:val="28"/>
        </w:rPr>
        <w:t xml:space="preserve"> </w:t>
      </w:r>
      <w:r w:rsidR="003B5D44">
        <w:rPr>
          <w:b/>
          <w:sz w:val="28"/>
          <w:szCs w:val="28"/>
        </w:rPr>
        <w:t>R</w:t>
      </w:r>
      <w:r w:rsidR="002A0182" w:rsidRPr="004844FB">
        <w:rPr>
          <w:b/>
          <w:sz w:val="28"/>
          <w:szCs w:val="28"/>
        </w:rPr>
        <w:t>elap</w:t>
      </w:r>
      <w:r w:rsidR="004844FB">
        <w:rPr>
          <w:b/>
          <w:sz w:val="28"/>
          <w:szCs w:val="28"/>
        </w:rPr>
        <w:t xml:space="preserve">sed </w:t>
      </w:r>
      <w:proofErr w:type="spellStart"/>
      <w:r w:rsidR="003B5D44">
        <w:rPr>
          <w:b/>
          <w:sz w:val="28"/>
          <w:szCs w:val="28"/>
        </w:rPr>
        <w:t>H</w:t>
      </w:r>
      <w:r w:rsidR="004844FB">
        <w:rPr>
          <w:b/>
          <w:sz w:val="28"/>
          <w:szCs w:val="28"/>
        </w:rPr>
        <w:t>ypercalcemia</w:t>
      </w:r>
      <w:proofErr w:type="spellEnd"/>
      <w:r w:rsidR="004844FB">
        <w:rPr>
          <w:b/>
          <w:sz w:val="28"/>
          <w:szCs w:val="28"/>
        </w:rPr>
        <w:t xml:space="preserve"> of </w:t>
      </w:r>
      <w:r w:rsidR="003B5D44">
        <w:rPr>
          <w:b/>
          <w:sz w:val="28"/>
          <w:szCs w:val="28"/>
        </w:rPr>
        <w:t>M</w:t>
      </w:r>
      <w:r w:rsidR="004844FB">
        <w:rPr>
          <w:b/>
          <w:sz w:val="28"/>
          <w:szCs w:val="28"/>
        </w:rPr>
        <w:t>alignancy</w:t>
      </w:r>
    </w:p>
    <w:p w14:paraId="09DA8853" w14:textId="77777777" w:rsidR="005743A2" w:rsidRDefault="005743A2">
      <w:pPr>
        <w:pStyle w:val="Normal1"/>
      </w:pPr>
    </w:p>
    <w:p w14:paraId="1FAC966C" w14:textId="535E30F2" w:rsidR="005743A2" w:rsidRDefault="002A0182">
      <w:pPr>
        <w:pStyle w:val="Normal1"/>
      </w:pPr>
      <w:r>
        <w:t xml:space="preserve">The RANKL inhibitor </w:t>
      </w:r>
      <w:r w:rsidR="00A4490C">
        <w:t>d</w:t>
      </w:r>
      <w:r w:rsidR="004844FB">
        <w:t>enosumab</w:t>
      </w:r>
      <w:r>
        <w:t xml:space="preserve"> improved responses for patients receiving bisphosphonate</w:t>
      </w:r>
      <w:r w:rsidR="001514F6">
        <w:t>s</w:t>
      </w:r>
      <w:r>
        <w:t xml:space="preserve"> in a proof-of-concept study</w:t>
      </w:r>
    </w:p>
    <w:p w14:paraId="3B135E8A" w14:textId="77777777" w:rsidR="005743A2" w:rsidRDefault="005743A2">
      <w:pPr>
        <w:pStyle w:val="Normal1"/>
      </w:pPr>
    </w:p>
    <w:p w14:paraId="711E9B89" w14:textId="77777777" w:rsidR="005743A2" w:rsidRDefault="002A0182">
      <w:pPr>
        <w:pStyle w:val="Normal1"/>
      </w:pPr>
      <w:r>
        <w:t>Michael Schreiber</w:t>
      </w:r>
    </w:p>
    <w:p w14:paraId="3E41DAF2" w14:textId="77777777" w:rsidR="005743A2" w:rsidRDefault="005743A2">
      <w:pPr>
        <w:pStyle w:val="Normal1"/>
      </w:pPr>
    </w:p>
    <w:p w14:paraId="7F793945" w14:textId="5F88844F" w:rsidR="005743A2" w:rsidRDefault="002A0182">
      <w:pPr>
        <w:pStyle w:val="Normal1"/>
      </w:pPr>
      <w:r>
        <w:t xml:space="preserve">February 23, 2015 </w:t>
      </w:r>
      <w:r w:rsidR="004844FB">
        <w:rPr>
          <w:rFonts w:eastAsia="Times New Roman"/>
          <w:sz w:val="20"/>
        </w:rPr>
        <w:t>–</w:t>
      </w:r>
      <w:r>
        <w:t xml:space="preserve"> A large proportion of </w:t>
      </w:r>
      <w:r w:rsidR="001514F6">
        <w:t xml:space="preserve">patients with </w:t>
      </w:r>
      <w:proofErr w:type="spellStart"/>
      <w:r>
        <w:t>hypercalcemia</w:t>
      </w:r>
      <w:proofErr w:type="spellEnd"/>
      <w:r>
        <w:t xml:space="preserve"> of malignancy (HCM) refractory to the standard-of-care </w:t>
      </w:r>
      <w:r w:rsidR="003B5D44">
        <w:t>bisphosphonate</w:t>
      </w:r>
      <w:r>
        <w:t xml:space="preserve"> treatment who received the RANKL inhibitor </w:t>
      </w:r>
      <w:r w:rsidR="003B5D44">
        <w:t>d</w:t>
      </w:r>
      <w:r w:rsidR="004844FB">
        <w:t>enosumab</w:t>
      </w:r>
      <w:r>
        <w:t xml:space="preserve"> experienced a robust clinical response in a single arm proof-of-concept study.</w:t>
      </w:r>
    </w:p>
    <w:p w14:paraId="68971795" w14:textId="77777777" w:rsidR="005743A2" w:rsidRDefault="005743A2">
      <w:pPr>
        <w:pStyle w:val="Normal1"/>
      </w:pPr>
    </w:p>
    <w:p w14:paraId="0770915D" w14:textId="1348C715" w:rsidR="005743A2" w:rsidRDefault="002A0182">
      <w:pPr>
        <w:pStyle w:val="Normal1"/>
      </w:pPr>
      <w:bookmarkStart w:id="0" w:name="OLE_LINK1"/>
      <w:bookmarkStart w:id="1" w:name="OLE_LINK2"/>
      <w:r>
        <w:t>Mimi I. Hu</w:t>
      </w:r>
      <w:bookmarkEnd w:id="0"/>
      <w:bookmarkEnd w:id="1"/>
      <w:r w:rsidR="004844FB">
        <w:t xml:space="preserve">, </w:t>
      </w:r>
      <w:r>
        <w:t xml:space="preserve">MD, of the University of Texas MD Anderson Cancer Center in Houston, and </w:t>
      </w:r>
      <w:r w:rsidR="003B5D44">
        <w:t>colleagues</w:t>
      </w:r>
      <w:r>
        <w:t xml:space="preserve"> reported the results of their study in the September 18, 2013 issue of the </w:t>
      </w:r>
      <w:r w:rsidRPr="00A4490C">
        <w:rPr>
          <w:i/>
        </w:rPr>
        <w:t>Journal of the National Cancer Institute</w:t>
      </w:r>
      <w:r>
        <w:t>.</w:t>
      </w:r>
    </w:p>
    <w:p w14:paraId="04855549" w14:textId="77777777" w:rsidR="005743A2" w:rsidRDefault="005743A2">
      <w:pPr>
        <w:pStyle w:val="Normal1"/>
      </w:pPr>
      <w:bookmarkStart w:id="2" w:name="_GoBack"/>
      <w:bookmarkEnd w:id="2"/>
    </w:p>
    <w:p w14:paraId="0A25835A" w14:textId="251A4ED3" w:rsidR="005743A2" w:rsidRDefault="002A0182">
      <w:pPr>
        <w:pStyle w:val="Normal1"/>
      </w:pPr>
      <w:r>
        <w:t xml:space="preserve">As </w:t>
      </w:r>
      <w:r w:rsidR="001514F6">
        <w:t xml:space="preserve">noted </w:t>
      </w:r>
      <w:r>
        <w:t xml:space="preserve">by the researchers, </w:t>
      </w:r>
      <w:proofErr w:type="spellStart"/>
      <w:r w:rsidR="003B5D44">
        <w:t>d</w:t>
      </w:r>
      <w:r w:rsidR="004844FB">
        <w:t>enosumab</w:t>
      </w:r>
      <w:proofErr w:type="spellEnd"/>
      <w:r>
        <w:t xml:space="preserve"> functions as an inhibitor of RANKL, a mediator of bone resorption. Previous studies showed </w:t>
      </w:r>
      <w:r w:rsidR="003B5D44">
        <w:t>d</w:t>
      </w:r>
      <w:r w:rsidR="004844FB">
        <w:t>enosumab</w:t>
      </w:r>
      <w:r>
        <w:t xml:space="preserve"> to be effective at treating HCM when compared with zoledronic acid treatment.</w:t>
      </w:r>
    </w:p>
    <w:p w14:paraId="5C2CBF27" w14:textId="77777777" w:rsidR="005743A2" w:rsidRDefault="005743A2">
      <w:pPr>
        <w:pStyle w:val="Normal1"/>
      </w:pPr>
    </w:p>
    <w:p w14:paraId="3BAE227F" w14:textId="212EC153" w:rsidR="005743A2" w:rsidRDefault="002A0182">
      <w:pPr>
        <w:pStyle w:val="Normal1"/>
      </w:pPr>
      <w:r>
        <w:t xml:space="preserve">In the present study, Hu and </w:t>
      </w:r>
      <w:r w:rsidR="003B5D44">
        <w:t>colleagues</w:t>
      </w:r>
      <w:r>
        <w:t xml:space="preserve"> treated patients refractory to the standard-of-care bisphosphonate treatment with </w:t>
      </w:r>
      <w:r w:rsidR="003B5D44">
        <w:t>d</w:t>
      </w:r>
      <w:r w:rsidR="004844FB">
        <w:t>enosumab</w:t>
      </w:r>
      <w:r>
        <w:t xml:space="preserve"> and monitored these patients for a reduction in disease score.</w:t>
      </w:r>
    </w:p>
    <w:p w14:paraId="226E281F" w14:textId="77777777" w:rsidR="005743A2" w:rsidRDefault="005743A2">
      <w:pPr>
        <w:pStyle w:val="Normal1"/>
      </w:pPr>
    </w:p>
    <w:p w14:paraId="7705F9C3" w14:textId="77777777" w:rsidR="004844FB" w:rsidRDefault="004844FB">
      <w:pPr>
        <w:pStyle w:val="Normal1"/>
      </w:pPr>
      <w:r>
        <w:t xml:space="preserve">Enrolled patients received 120 mg of denosumab on days 1, 8, 15 and 29 of the study. Patients received additional doses every 4 weeks, up to day 57. </w:t>
      </w:r>
    </w:p>
    <w:p w14:paraId="3B4B9923" w14:textId="77777777" w:rsidR="004844FB" w:rsidRDefault="004844FB">
      <w:pPr>
        <w:pStyle w:val="Normal1"/>
      </w:pPr>
    </w:p>
    <w:p w14:paraId="5E3EB1C0" w14:textId="4068F520" w:rsidR="005743A2" w:rsidRDefault="002A0182">
      <w:pPr>
        <w:pStyle w:val="Normal1"/>
      </w:pPr>
      <w:r>
        <w:t xml:space="preserve">The primary outcome assessed in the study was the number of patients demonstrating a clinical response to </w:t>
      </w:r>
      <w:r w:rsidR="003B5D44">
        <w:t>d</w:t>
      </w:r>
      <w:r w:rsidR="004844FB">
        <w:t>enosumab</w:t>
      </w:r>
      <w:r>
        <w:t xml:space="preserve"> treatment at 10 days after initial treatment with the antibody, defined as a reduction in albumin-corrected serum calcium (CSC) levels to 11.5 mg/</w:t>
      </w:r>
      <w:proofErr w:type="spellStart"/>
      <w:r>
        <w:t>dL</w:t>
      </w:r>
      <w:proofErr w:type="spellEnd"/>
      <w:r>
        <w:t xml:space="preserve"> or less (a grade of </w:t>
      </w:r>
      <w:bookmarkStart w:id="3" w:name="OLE_LINK3"/>
      <w:bookmarkStart w:id="4" w:name="OLE_LINK4"/>
      <w:r w:rsidR="004844FB">
        <w:rPr>
          <w:sz w:val="20"/>
        </w:rPr>
        <w:t>≤</w:t>
      </w:r>
      <w:bookmarkEnd w:id="3"/>
      <w:bookmarkEnd w:id="4"/>
      <w:r w:rsidR="004844FB">
        <w:rPr>
          <w:sz w:val="20"/>
        </w:rPr>
        <w:t xml:space="preserve"> </w:t>
      </w:r>
      <w:r>
        <w:t>1 according to the Common Terminology Criteria for Adverse Events [CTCAE]).</w:t>
      </w:r>
    </w:p>
    <w:p w14:paraId="2635EB04" w14:textId="77777777" w:rsidR="005743A2" w:rsidRDefault="005743A2">
      <w:pPr>
        <w:pStyle w:val="Normal1"/>
      </w:pPr>
    </w:p>
    <w:p w14:paraId="7D85D13D" w14:textId="658FE68D" w:rsidR="005743A2" w:rsidRDefault="002A0182">
      <w:pPr>
        <w:pStyle w:val="Normal1"/>
      </w:pPr>
      <w:r>
        <w:t xml:space="preserve">Twelve patients, or 80% (95% exact confidence interval [CI] = 52% to 96%), met the primary outcome </w:t>
      </w:r>
      <w:r w:rsidR="003B5D44">
        <w:t>criteria</w:t>
      </w:r>
      <w:r>
        <w:t>.</w:t>
      </w:r>
    </w:p>
    <w:p w14:paraId="11B91ABB" w14:textId="77777777" w:rsidR="005743A2" w:rsidRDefault="005743A2">
      <w:pPr>
        <w:pStyle w:val="Normal1"/>
      </w:pPr>
    </w:p>
    <w:p w14:paraId="05433E4C" w14:textId="4EB9FE78" w:rsidR="005743A2" w:rsidRDefault="002A0182">
      <w:pPr>
        <w:pStyle w:val="Normal1"/>
      </w:pPr>
      <w:r>
        <w:t xml:space="preserve">The researchers also evaluated response duration and proportion of patients demonstrating a complete response to treatment as secondary outcomes. In patients who responded to </w:t>
      </w:r>
      <w:proofErr w:type="spellStart"/>
      <w:r w:rsidR="003B5D44">
        <w:t>d</w:t>
      </w:r>
      <w:r w:rsidR="004844FB">
        <w:t>enosumab</w:t>
      </w:r>
      <w:proofErr w:type="spellEnd"/>
      <w:r>
        <w:t xml:space="preserve">, the median duration of response was 26 days. Ten patients, or 67% (95% exact CI = 38% to 88%), responded completely, demonstrating a CSC level </w:t>
      </w:r>
      <w:r w:rsidR="004844FB">
        <w:rPr>
          <w:sz w:val="20"/>
        </w:rPr>
        <w:t>≤</w:t>
      </w:r>
      <w:r>
        <w:t>10.8 mg/</w:t>
      </w:r>
      <w:proofErr w:type="spellStart"/>
      <w:r>
        <w:t>dL</w:t>
      </w:r>
      <w:proofErr w:type="spellEnd"/>
      <w:r>
        <w:t xml:space="preserve"> by 10 </w:t>
      </w:r>
      <w:proofErr w:type="gramStart"/>
      <w:r>
        <w:t>days</w:t>
      </w:r>
      <w:proofErr w:type="gramEnd"/>
      <w:r>
        <w:t xml:space="preserve"> post initial </w:t>
      </w:r>
      <w:r w:rsidR="003B5D44">
        <w:t>d</w:t>
      </w:r>
      <w:r w:rsidR="004844FB">
        <w:t>enosumab</w:t>
      </w:r>
      <w:r>
        <w:t xml:space="preserve"> treatment.</w:t>
      </w:r>
    </w:p>
    <w:p w14:paraId="7FB98C39" w14:textId="77777777" w:rsidR="005743A2" w:rsidRDefault="005743A2">
      <w:pPr>
        <w:pStyle w:val="Normal1"/>
      </w:pPr>
    </w:p>
    <w:p w14:paraId="0C4563C4" w14:textId="28D7C69F" w:rsidR="005743A2" w:rsidRDefault="002A0182">
      <w:pPr>
        <w:pStyle w:val="Normal1"/>
      </w:pPr>
      <w:r>
        <w:t xml:space="preserve">A number of severe adverse events were reported during the study, although the investigators did not attribute the adverse events to treatment with </w:t>
      </w:r>
      <w:r w:rsidR="003B5D44">
        <w:t>d</w:t>
      </w:r>
      <w:r w:rsidR="004844FB">
        <w:t>enosumab</w:t>
      </w:r>
      <w:r>
        <w:t xml:space="preserve">. The adverse events most </w:t>
      </w:r>
      <w:r>
        <w:lastRenderedPageBreak/>
        <w:t>commonly experienced by patients involved in the study were pyrexia</w:t>
      </w:r>
      <w:r w:rsidR="004844FB">
        <w:t xml:space="preserve"> (20%)</w:t>
      </w:r>
      <w:r>
        <w:t>, nausea</w:t>
      </w:r>
      <w:r w:rsidR="004844FB">
        <w:t xml:space="preserve"> (20%)</w:t>
      </w:r>
      <w:r>
        <w:t>, and additional hypercalcemia associated with progression of the patients' malignancies</w:t>
      </w:r>
      <w:r w:rsidR="004844FB">
        <w:t xml:space="preserve"> (20%)</w:t>
      </w:r>
      <w:r>
        <w:t>.</w:t>
      </w:r>
      <w:r w:rsidR="004844FB">
        <w:t xml:space="preserve"> </w:t>
      </w:r>
    </w:p>
    <w:p w14:paraId="5D110FD2" w14:textId="63E6A846" w:rsidR="005743A2" w:rsidRDefault="002A0182" w:rsidP="00E86A5D">
      <w:pPr>
        <w:pStyle w:val="Normal1"/>
      </w:pPr>
      <w:r>
        <w:t xml:space="preserve">The study reported by Hu and </w:t>
      </w:r>
      <w:r w:rsidR="003B5D44">
        <w:t>colleagues</w:t>
      </w:r>
      <w:r>
        <w:t xml:space="preserve"> involved only a small number of patients (15)</w:t>
      </w:r>
      <w:r w:rsidR="004844FB">
        <w:t xml:space="preserve"> and did not contain a control arm</w:t>
      </w:r>
      <w:r w:rsidR="00E86A5D">
        <w:t>. However, the authors note that the “response was maintained for a median of 26 days, a clinically meaningful outcome given that patients entered this study with hypercalcemia of grade 3 and greater within a median of only 18 days after receiving the last dose of intravenous bisphosphonate.”</w:t>
      </w:r>
    </w:p>
    <w:p w14:paraId="7298DF46" w14:textId="77777777" w:rsidR="005743A2" w:rsidRDefault="005743A2">
      <w:pPr>
        <w:pStyle w:val="Normal1"/>
      </w:pPr>
    </w:p>
    <w:p w14:paraId="6DBA8786" w14:textId="0C5E9139" w:rsidR="005743A2" w:rsidRDefault="002A0182">
      <w:pPr>
        <w:pStyle w:val="Normal1"/>
      </w:pPr>
      <w:r>
        <w:t xml:space="preserve">The authors further suggest that </w:t>
      </w:r>
      <w:r w:rsidR="003B5D44">
        <w:t>d</w:t>
      </w:r>
      <w:r w:rsidR="004844FB">
        <w:t>enosumab</w:t>
      </w:r>
      <w:r>
        <w:t xml:space="preserve"> "may offer a new treatment option for HCM in this challenging population" of </w:t>
      </w:r>
      <w:proofErr w:type="gramStart"/>
      <w:r>
        <w:t>patients</w:t>
      </w:r>
      <w:proofErr w:type="gramEnd"/>
      <w:r>
        <w:t xml:space="preserve"> refractory to the standard-of-care bisphosphonate treatment.</w:t>
      </w:r>
    </w:p>
    <w:p w14:paraId="27EE0CB4" w14:textId="77777777" w:rsidR="005743A2" w:rsidRDefault="005743A2">
      <w:pPr>
        <w:pStyle w:val="Normal1"/>
      </w:pPr>
    </w:p>
    <w:p w14:paraId="726A13F4" w14:textId="77777777" w:rsidR="005743A2" w:rsidRDefault="002A0182">
      <w:pPr>
        <w:pStyle w:val="Normal1"/>
      </w:pPr>
      <w:r>
        <w:rPr>
          <w:i/>
        </w:rPr>
        <w:t xml:space="preserve">The sponsor of this study, Amgen Inc., participated in the design and interpretation of the study as well as in the preparation of the report. </w:t>
      </w:r>
    </w:p>
    <w:p w14:paraId="6A8C6B2E" w14:textId="77777777" w:rsidR="005743A2" w:rsidRDefault="005743A2">
      <w:pPr>
        <w:pStyle w:val="Normal1"/>
      </w:pPr>
    </w:p>
    <w:p w14:paraId="27F8A126" w14:textId="77777777" w:rsidR="005743A2" w:rsidRDefault="002A0182">
      <w:pPr>
        <w:pStyle w:val="Normal1"/>
      </w:pPr>
      <w:r>
        <w:t xml:space="preserve">J </w:t>
      </w:r>
      <w:proofErr w:type="spellStart"/>
      <w:r>
        <w:t>Natl</w:t>
      </w:r>
      <w:proofErr w:type="spellEnd"/>
      <w:r>
        <w:t xml:space="preserve"> Cance</w:t>
      </w:r>
      <w:r w:rsidR="004844FB">
        <w:t>r Inst. August 29, 2013 online.</w:t>
      </w:r>
    </w:p>
    <w:sectPr w:rsidR="005743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4"/>
  </w:compat>
  <w:rsids>
    <w:rsidRoot w:val="005743A2"/>
    <w:rsid w:val="001514F6"/>
    <w:rsid w:val="002A0182"/>
    <w:rsid w:val="00357E4B"/>
    <w:rsid w:val="003B5D44"/>
    <w:rsid w:val="004844FB"/>
    <w:rsid w:val="005743A2"/>
    <w:rsid w:val="005F014E"/>
    <w:rsid w:val="007B1851"/>
    <w:rsid w:val="00A4490C"/>
    <w:rsid w:val="00E86A5D"/>
    <w:rsid w:val="00EC4AE6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034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F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F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49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9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9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9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9F9"/>
    <w:rPr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Schreiber</cp:lastModifiedBy>
  <cp:revision>2</cp:revision>
  <dcterms:created xsi:type="dcterms:W3CDTF">2015-08-07T15:28:00Z</dcterms:created>
  <dcterms:modified xsi:type="dcterms:W3CDTF">2015-08-07T15:28:00Z</dcterms:modified>
</cp:coreProperties>
</file>